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687690E" w14:textId="74FF1E18" w:rsidR="00CD4C7B" w:rsidRPr="00B266B0" w:rsidRDefault="00CD4C7B" w:rsidP="00CD4C7B">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sidRPr="00B266B0">
        <w:rPr>
          <w:noProof w:val="0"/>
          <w:sz w:val="24"/>
          <w:szCs w:val="24"/>
        </w:rPr>
        <w:t>WG2 Meeting #</w:t>
      </w:r>
      <w:r w:rsidR="009B07CD">
        <w:rPr>
          <w:noProof w:val="0"/>
          <w:sz w:val="24"/>
          <w:szCs w:val="24"/>
        </w:rPr>
        <w:t>9</w:t>
      </w:r>
      <w:r w:rsidR="003B40AD">
        <w:rPr>
          <w:noProof w:val="0"/>
          <w:sz w:val="24"/>
          <w:szCs w:val="24"/>
        </w:rPr>
        <w:t>5</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Pr="00B266B0">
        <w:rPr>
          <w:bCs/>
          <w:noProof w:val="0"/>
          <w:sz w:val="24"/>
          <w:szCs w:val="24"/>
        </w:rPr>
        <w:t>1</w:t>
      </w:r>
      <w:r w:rsidR="009B07CD">
        <w:rPr>
          <w:bCs/>
          <w:noProof w:val="0"/>
          <w:sz w:val="24"/>
          <w:szCs w:val="24"/>
        </w:rPr>
        <w:t>6</w:t>
      </w:r>
      <w:r w:rsidR="00854029">
        <w:rPr>
          <w:bCs/>
          <w:noProof w:val="0"/>
          <w:sz w:val="24"/>
          <w:szCs w:val="24"/>
        </w:rPr>
        <w:t>4788</w:t>
      </w:r>
    </w:p>
    <w:p w14:paraId="13D5E37A" w14:textId="77777777" w:rsidR="00CD4C7B" w:rsidRPr="00B266B0" w:rsidRDefault="003B40AD" w:rsidP="00CD4C7B">
      <w:pPr>
        <w:pStyle w:val="Header"/>
        <w:tabs>
          <w:tab w:val="right" w:pos="9639"/>
        </w:tabs>
        <w:rPr>
          <w:bCs/>
          <w:noProof w:val="0"/>
          <w:sz w:val="24"/>
          <w:szCs w:val="24"/>
        </w:rPr>
      </w:pPr>
      <w:r>
        <w:rPr>
          <w:rFonts w:eastAsia="SimSun"/>
          <w:noProof w:val="0"/>
          <w:sz w:val="24"/>
          <w:szCs w:val="24"/>
          <w:lang w:eastAsia="zh-CN"/>
        </w:rPr>
        <w:t>Gothenburg</w:t>
      </w:r>
      <w:r w:rsidR="00477455">
        <w:rPr>
          <w:rFonts w:eastAsia="SimSun"/>
          <w:noProof w:val="0"/>
          <w:sz w:val="24"/>
          <w:szCs w:val="24"/>
          <w:lang w:eastAsia="zh-CN"/>
        </w:rPr>
        <w:t xml:space="preserve">, </w:t>
      </w:r>
      <w:r>
        <w:rPr>
          <w:rFonts w:eastAsia="SimSun"/>
          <w:noProof w:val="0"/>
          <w:sz w:val="24"/>
          <w:szCs w:val="24"/>
          <w:lang w:eastAsia="zh-CN"/>
        </w:rPr>
        <w:t>Sweden</w:t>
      </w:r>
      <w:r w:rsidR="009B07CD" w:rsidRPr="009B07CD">
        <w:rPr>
          <w:rFonts w:eastAsia="SimSun"/>
          <w:noProof w:val="0"/>
          <w:sz w:val="24"/>
          <w:szCs w:val="24"/>
          <w:lang w:eastAsia="zh-CN"/>
        </w:rPr>
        <w:t xml:space="preserve">, </w:t>
      </w:r>
      <w:r w:rsidR="000C522B">
        <w:rPr>
          <w:rFonts w:eastAsia="SimSun"/>
          <w:noProof w:val="0"/>
          <w:sz w:val="24"/>
          <w:szCs w:val="24"/>
          <w:lang w:eastAsia="zh-CN"/>
        </w:rPr>
        <w:t>2</w:t>
      </w:r>
      <w:r>
        <w:rPr>
          <w:rFonts w:eastAsia="SimSun"/>
          <w:noProof w:val="0"/>
          <w:sz w:val="24"/>
          <w:szCs w:val="24"/>
          <w:lang w:eastAsia="zh-CN"/>
        </w:rPr>
        <w:t>2</w:t>
      </w:r>
      <w:r w:rsidR="009B07CD" w:rsidRPr="009B07CD">
        <w:rPr>
          <w:rFonts w:eastAsia="SimSun"/>
          <w:noProof w:val="0"/>
          <w:sz w:val="24"/>
          <w:szCs w:val="24"/>
          <w:lang w:eastAsia="zh-CN"/>
        </w:rPr>
        <w:t xml:space="preserve"> - </w:t>
      </w:r>
      <w:r>
        <w:rPr>
          <w:rFonts w:eastAsia="SimSun"/>
          <w:noProof w:val="0"/>
          <w:sz w:val="24"/>
          <w:szCs w:val="24"/>
          <w:lang w:eastAsia="zh-CN"/>
        </w:rPr>
        <w:t>26</w:t>
      </w:r>
      <w:r w:rsidR="009B07CD" w:rsidRPr="009B07CD">
        <w:rPr>
          <w:rFonts w:eastAsia="SimSun"/>
          <w:noProof w:val="0"/>
          <w:sz w:val="24"/>
          <w:szCs w:val="24"/>
          <w:lang w:eastAsia="zh-CN"/>
        </w:rPr>
        <w:t xml:space="preserve"> </w:t>
      </w:r>
      <w:r>
        <w:rPr>
          <w:rFonts w:eastAsia="SimSun"/>
          <w:noProof w:val="0"/>
          <w:sz w:val="24"/>
          <w:szCs w:val="24"/>
          <w:lang w:eastAsia="zh-CN"/>
        </w:rPr>
        <w:t>August</w:t>
      </w:r>
      <w:r w:rsidR="000C522B">
        <w:rPr>
          <w:rFonts w:eastAsia="SimSun"/>
          <w:noProof w:val="0"/>
          <w:sz w:val="24"/>
          <w:szCs w:val="24"/>
          <w:lang w:eastAsia="zh-CN"/>
        </w:rPr>
        <w:t xml:space="preserve"> </w:t>
      </w:r>
      <w:r w:rsidR="009B07CD" w:rsidRPr="009B07CD">
        <w:rPr>
          <w:rFonts w:eastAsia="SimSun"/>
          <w:noProof w:val="0"/>
          <w:sz w:val="24"/>
          <w:szCs w:val="24"/>
          <w:lang w:eastAsia="zh-CN"/>
        </w:rPr>
        <w:t>2016</w:t>
      </w:r>
    </w:p>
    <w:p w14:paraId="0F848B4D" w14:textId="77777777" w:rsidR="00CD4C7B" w:rsidRPr="00B266B0" w:rsidRDefault="00CD4C7B" w:rsidP="00CD4C7B">
      <w:pPr>
        <w:pStyle w:val="Header"/>
        <w:rPr>
          <w:bCs/>
          <w:noProof w:val="0"/>
          <w:sz w:val="24"/>
        </w:rPr>
      </w:pPr>
    </w:p>
    <w:p w14:paraId="6AE0C37D" w14:textId="77777777" w:rsidR="00CD4C7B" w:rsidRPr="00B266B0" w:rsidRDefault="00CD4C7B" w:rsidP="00CD4C7B">
      <w:pPr>
        <w:pStyle w:val="Header"/>
        <w:rPr>
          <w:bCs/>
          <w:noProof w:val="0"/>
          <w:sz w:val="24"/>
        </w:rPr>
      </w:pPr>
    </w:p>
    <w:p w14:paraId="4BB88D4B" w14:textId="0E87F7DD"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2B3DBA">
        <w:rPr>
          <w:rFonts w:cs="Arial"/>
          <w:b/>
          <w:bCs/>
          <w:sz w:val="24"/>
          <w:lang w:eastAsia="ja-JP"/>
        </w:rPr>
        <w:t>9.4.2.1</w:t>
      </w:r>
    </w:p>
    <w:p w14:paraId="02114BE5" w14:textId="77777777"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Alcatel-Lucent Shanghai Bell</w:t>
      </w:r>
    </w:p>
    <w:p w14:paraId="6C9934E7" w14:textId="77777777"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D80C2A">
        <w:rPr>
          <w:rFonts w:ascii="Arial" w:hAnsi="Arial" w:cs="Arial"/>
          <w:b/>
          <w:bCs/>
          <w:sz w:val="24"/>
        </w:rPr>
        <w:t>Carrier Aggregation between carriers of different air interface numerologies</w:t>
      </w:r>
    </w:p>
    <w:p w14:paraId="4C8F8246" w14:textId="083A18FB"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2B3DBA" w:rsidRPr="00E60FE2">
        <w:rPr>
          <w:rFonts w:ascii="Arial" w:hAnsi="Arial" w:cs="Arial"/>
          <w:b/>
          <w:bCs/>
          <w:sz w:val="24"/>
        </w:rPr>
        <w:t>FS_ NR_newRAT - Release 14</w:t>
      </w:r>
    </w:p>
    <w:p w14:paraId="388587AE"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75B2E64A" w14:textId="77777777" w:rsidR="00CD4C7B" w:rsidRPr="006E13D1" w:rsidRDefault="00CD4C7B" w:rsidP="00CD4C7B">
      <w:pPr>
        <w:pStyle w:val="Heading1"/>
      </w:pPr>
      <w:r w:rsidRPr="006E13D1">
        <w:t>1</w:t>
      </w:r>
      <w:r w:rsidRPr="006E13D1">
        <w:tab/>
      </w:r>
      <w:r w:rsidR="0056573F">
        <w:t>Introduction</w:t>
      </w:r>
    </w:p>
    <w:p w14:paraId="6B399B0B" w14:textId="77777777" w:rsidR="0028215C" w:rsidRPr="006E13D1" w:rsidRDefault="00D80C2A" w:rsidP="00CD4C7B">
      <w:r>
        <w:t>The new NR will support multiple numerologies to take into account the specifics of different frequency bands. In this document we discuss to what extent lower layer aggregation (such as carrier aggregation in LTE) can be used to aggregate multiple carriers with different air interface numerologies.</w:t>
      </w:r>
    </w:p>
    <w:p w14:paraId="1BFDE012" w14:textId="77777777" w:rsidR="00CD4C7B" w:rsidRPr="006E13D1" w:rsidRDefault="00CD4C7B" w:rsidP="00CD4C7B">
      <w:pPr>
        <w:pStyle w:val="Heading1"/>
      </w:pPr>
      <w:r w:rsidRPr="006E13D1">
        <w:t>2</w:t>
      </w:r>
      <w:r w:rsidRPr="006E13D1">
        <w:tab/>
      </w:r>
      <w:r w:rsidR="00CE157C">
        <w:t>Discussion</w:t>
      </w:r>
    </w:p>
    <w:p w14:paraId="7589DBBE" w14:textId="77777777" w:rsidR="00CE157C" w:rsidRPr="006E13D1" w:rsidRDefault="00CE157C" w:rsidP="00CE157C">
      <w:pPr>
        <w:pStyle w:val="Heading2"/>
      </w:pPr>
      <w:r>
        <w:t>2</w:t>
      </w:r>
      <w:r w:rsidRPr="006E13D1">
        <w:t>.1</w:t>
      </w:r>
      <w:r w:rsidRPr="006E13D1">
        <w:tab/>
      </w:r>
      <w:r w:rsidR="009A63D0">
        <w:t xml:space="preserve">Review of </w:t>
      </w:r>
      <w:r>
        <w:t>Carrier Aggregation in LTE</w:t>
      </w:r>
    </w:p>
    <w:p w14:paraId="44BFF39F" w14:textId="37DD0583" w:rsidR="00CD4C7B" w:rsidRDefault="00CF239B" w:rsidP="001B49C9">
      <w:r>
        <w:t>LTE Rel</w:t>
      </w:r>
      <w:r w:rsidR="002B3DBA">
        <w:t>-</w:t>
      </w:r>
      <w:r>
        <w:t xml:space="preserve">10 has specified carrier aggregation where multiple carriers can be aggregated in the ideal backhaul case, i.e. </w:t>
      </w:r>
      <w:r w:rsidR="0028215C">
        <w:t xml:space="preserve">practically </w:t>
      </w:r>
      <w:r>
        <w:t>in case the corresponding cells are served by the same eNB</w:t>
      </w:r>
      <w:r w:rsidR="0028215C">
        <w:t>. The figures below are excerpts from 36.300 and show the Layer 2 structure of LTE carrier aggregation in downlink and uplink.</w:t>
      </w:r>
    </w:p>
    <w:p w14:paraId="12F1EE4F" w14:textId="04EF23F4" w:rsidR="001C7264" w:rsidRDefault="002B3DBA" w:rsidP="001C7264">
      <w:r>
        <w:t>At the last meeting</w:t>
      </w:r>
      <w:r w:rsidR="001C7264">
        <w:t xml:space="preserve"> it was agreed that NR </w:t>
      </w:r>
      <w:r w:rsidR="00E8067A">
        <w:t>shall study</w:t>
      </w:r>
      <w:r w:rsidR="001C7264">
        <w:t xml:space="preserve"> a lower layer aggregation feature similar to CA in LTE. We think that this feature should use the same Layer 2 structure as LTE.</w:t>
      </w:r>
    </w:p>
    <w:p w14:paraId="6650147A" w14:textId="689458F4" w:rsidR="001C7264" w:rsidRDefault="001C7264" w:rsidP="001C7264">
      <w:pPr>
        <w:rPr>
          <w:b/>
        </w:rPr>
      </w:pPr>
      <w:r w:rsidRPr="001C7264">
        <w:rPr>
          <w:b/>
        </w:rPr>
        <w:t xml:space="preserve">Proposal </w:t>
      </w:r>
      <w:r>
        <w:rPr>
          <w:b/>
        </w:rPr>
        <w:t>1</w:t>
      </w:r>
      <w:r w:rsidRPr="001C7264">
        <w:rPr>
          <w:b/>
        </w:rPr>
        <w:t xml:space="preserve">: </w:t>
      </w:r>
      <w:r>
        <w:rPr>
          <w:b/>
        </w:rPr>
        <w:t xml:space="preserve">Lower Layer aggregation should </w:t>
      </w:r>
      <w:r w:rsidR="003E3EC0">
        <w:rPr>
          <w:b/>
        </w:rPr>
        <w:t>use</w:t>
      </w:r>
      <w:r>
        <w:rPr>
          <w:b/>
        </w:rPr>
        <w:t xml:space="preserve"> the CA specification</w:t>
      </w:r>
      <w:r w:rsidR="00C970C0">
        <w:rPr>
          <w:b/>
        </w:rPr>
        <w:t>s</w:t>
      </w:r>
      <w:r>
        <w:rPr>
          <w:b/>
        </w:rPr>
        <w:t xml:space="preserve"> </w:t>
      </w:r>
      <w:r w:rsidR="002836B2">
        <w:rPr>
          <w:b/>
        </w:rPr>
        <w:t xml:space="preserve">of </w:t>
      </w:r>
      <w:r>
        <w:rPr>
          <w:b/>
        </w:rPr>
        <w:t>LTE</w:t>
      </w:r>
      <w:r w:rsidR="002836B2" w:rsidRPr="002836B2">
        <w:rPr>
          <w:b/>
        </w:rPr>
        <w:t xml:space="preserve"> </w:t>
      </w:r>
      <w:r w:rsidR="002836B2">
        <w:rPr>
          <w:b/>
        </w:rPr>
        <w:t>as a baseline</w:t>
      </w:r>
      <w:r>
        <w:rPr>
          <w:b/>
        </w:rPr>
        <w:t>.</w:t>
      </w:r>
    </w:p>
    <w:p w14:paraId="292E8CF9" w14:textId="77777777" w:rsidR="0028215C" w:rsidRDefault="001C7264" w:rsidP="001B49C9">
      <w:r>
        <w:t>We will assume this Layer 2 structure for the following NR considerations.</w:t>
      </w:r>
    </w:p>
    <w:p w14:paraId="7105E133" w14:textId="77777777" w:rsidR="004A5BFB" w:rsidRDefault="001871B0" w:rsidP="003B7B55">
      <w:pPr>
        <w:keepNext/>
      </w:pPr>
      <w:r>
        <w:object w:dxaOrig="13588" w:dyaOrig="6452" w14:anchorId="44781DA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6pt;height:228.25pt" o:ole="">
            <v:imagedata r:id="rId8" o:title=""/>
          </v:shape>
          <o:OLEObject Type="Embed" ProgID="Visio.Drawing.11" ShapeID="_x0000_i1025" DrawAspect="Content" ObjectID="_1532505199" r:id="rId9"/>
        </w:object>
      </w:r>
    </w:p>
    <w:p w14:paraId="79E30193" w14:textId="4B8D30AA" w:rsidR="001871B0" w:rsidRDefault="004A5BFB" w:rsidP="003B7B55">
      <w:pPr>
        <w:pStyle w:val="Caption"/>
      </w:pPr>
      <w:r>
        <w:t xml:space="preserve">Figure </w:t>
      </w:r>
      <w:r w:rsidR="00BE1572">
        <w:fldChar w:fldCharType="begin"/>
      </w:r>
      <w:r w:rsidR="00BE1572">
        <w:instrText xml:space="preserve"> SEQ Figure \* ARABIC </w:instrText>
      </w:r>
      <w:r w:rsidR="00BE1572">
        <w:fldChar w:fldCharType="separate"/>
      </w:r>
      <w:r w:rsidR="009028DE">
        <w:rPr>
          <w:noProof/>
        </w:rPr>
        <w:t>1</w:t>
      </w:r>
      <w:r w:rsidR="00BE1572">
        <w:rPr>
          <w:noProof/>
        </w:rPr>
        <w:fldChar w:fldCharType="end"/>
      </w:r>
      <w:r>
        <w:t>: Downlink layer 2 structure of</w:t>
      </w:r>
      <w:r w:rsidR="00ED3C07">
        <w:t xml:space="preserve"> LTE</w:t>
      </w:r>
      <w:r>
        <w:t xml:space="preserve"> </w:t>
      </w:r>
      <w:r w:rsidR="00ED3C07">
        <w:t>CA.</w:t>
      </w:r>
    </w:p>
    <w:p w14:paraId="54BD7EAB" w14:textId="77777777" w:rsidR="00ED3C07" w:rsidRDefault="001871B0" w:rsidP="003B7B55">
      <w:pPr>
        <w:keepNext/>
      </w:pPr>
      <w:r w:rsidRPr="005132EF">
        <w:object w:dxaOrig="5821" w:dyaOrig="6453" w14:anchorId="4F15BED2">
          <v:shape id="_x0000_i1026" type="#_x0000_t75" style="width:253.35pt;height:280.55pt" o:ole="">
            <v:imagedata r:id="rId10" o:title=""/>
          </v:shape>
          <o:OLEObject Type="Embed" ProgID="Visio.Drawing.11" ShapeID="_x0000_i1026" DrawAspect="Content" ObjectID="_1532505200" r:id="rId11"/>
        </w:object>
      </w:r>
    </w:p>
    <w:p w14:paraId="14C04B6F" w14:textId="6EF048D0" w:rsidR="001871B0" w:rsidRDefault="00ED3C07" w:rsidP="003B7B55">
      <w:pPr>
        <w:pStyle w:val="Caption"/>
      </w:pPr>
      <w:r>
        <w:t xml:space="preserve">Figure </w:t>
      </w:r>
      <w:r w:rsidR="00BE1572">
        <w:fldChar w:fldCharType="begin"/>
      </w:r>
      <w:r w:rsidR="00BE1572">
        <w:instrText xml:space="preserve"> SEQ Figure \* ARABIC </w:instrText>
      </w:r>
      <w:r w:rsidR="00BE1572">
        <w:fldChar w:fldCharType="separate"/>
      </w:r>
      <w:r w:rsidR="009028DE">
        <w:rPr>
          <w:noProof/>
        </w:rPr>
        <w:t>2</w:t>
      </w:r>
      <w:r w:rsidR="00BE1572">
        <w:rPr>
          <w:noProof/>
        </w:rPr>
        <w:fldChar w:fldCharType="end"/>
      </w:r>
      <w:r>
        <w:t>: Uplink layer 2 structure of LTE CA.</w:t>
      </w:r>
    </w:p>
    <w:p w14:paraId="301A8B83" w14:textId="77777777" w:rsidR="001871B0" w:rsidRDefault="00E95AD0" w:rsidP="001B49C9">
      <w:r>
        <w:t>We would like to emphasize the following observations:</w:t>
      </w:r>
    </w:p>
    <w:p w14:paraId="0566DE2F" w14:textId="1D08240E" w:rsidR="00E95AD0" w:rsidRDefault="00E95AD0" w:rsidP="00E95AD0">
      <w:pPr>
        <w:pStyle w:val="B1"/>
      </w:pPr>
      <w:r>
        <w:t>-</w:t>
      </w:r>
      <w:r>
        <w:tab/>
        <w:t xml:space="preserve">There is a single RLC / ARQ instance for all carriers (but one per bearer), i.e. the aggregated </w:t>
      </w:r>
      <w:r w:rsidR="00222BA7">
        <w:t xml:space="preserve">component </w:t>
      </w:r>
      <w:r>
        <w:t>carriers have a common RLC</w:t>
      </w:r>
      <w:r w:rsidR="00222BA7">
        <w:t xml:space="preserve"> (and certainly a common PDCP)</w:t>
      </w:r>
    </w:p>
    <w:p w14:paraId="56667063" w14:textId="3D7B3FA2" w:rsidR="00E95AD0" w:rsidRDefault="00E95AD0" w:rsidP="00E95AD0">
      <w:pPr>
        <w:pStyle w:val="B1"/>
      </w:pPr>
      <w:r w:rsidRPr="006E13D1">
        <w:t>-</w:t>
      </w:r>
      <w:r w:rsidRPr="006E13D1">
        <w:tab/>
      </w:r>
      <w:r>
        <w:t xml:space="preserve">Each aggregated </w:t>
      </w:r>
      <w:r w:rsidR="00222BA7">
        <w:t xml:space="preserve">component </w:t>
      </w:r>
      <w:r>
        <w:t>carrier has its own HARQ instance.</w:t>
      </w:r>
    </w:p>
    <w:p w14:paraId="32F27276" w14:textId="56EEAA0E" w:rsidR="00CE157C" w:rsidRDefault="00CE157C" w:rsidP="00E95AD0">
      <w:pPr>
        <w:pStyle w:val="B1"/>
      </w:pPr>
      <w:r>
        <w:t>-</w:t>
      </w:r>
      <w:r>
        <w:tab/>
        <w:t>The only common MAC part is the scheduling / priority handling</w:t>
      </w:r>
      <w:r w:rsidR="005568A8">
        <w:t xml:space="preserve"> (and certainly the multiplexing which can be seen as part of the scheduling)</w:t>
      </w:r>
      <w:r>
        <w:t>.</w:t>
      </w:r>
      <w:r w:rsidR="005568A8">
        <w:t xml:space="preserve"> </w:t>
      </w:r>
    </w:p>
    <w:p w14:paraId="0A0BDA65" w14:textId="77777777" w:rsidR="00CE157C" w:rsidRDefault="00CE157C" w:rsidP="00CE157C">
      <w:pPr>
        <w:pStyle w:val="Heading2"/>
      </w:pPr>
      <w:r>
        <w:t>2</w:t>
      </w:r>
      <w:r w:rsidRPr="006E13D1">
        <w:t>.</w:t>
      </w:r>
      <w:r>
        <w:t>2</w:t>
      </w:r>
      <w:r w:rsidRPr="006E13D1">
        <w:tab/>
      </w:r>
      <w:r>
        <w:t>Different air interface numerologies in NR</w:t>
      </w:r>
    </w:p>
    <w:p w14:paraId="03C60D1E" w14:textId="66A6EC9A" w:rsidR="00CE157C" w:rsidRDefault="00D00978" w:rsidP="00CE157C">
      <w:r>
        <w:t xml:space="preserve">Although LTE also supports special numerologies for e.g. eMBMS, LTE CA only supports aggregation of carriers of same numerology. </w:t>
      </w:r>
      <w:r w:rsidR="00CE157C">
        <w:t>The NR air interface is likely to support multiple numerologies</w:t>
      </w:r>
      <w:r w:rsidR="001E4AB2">
        <w:t xml:space="preserve"> in order to adapt to the specifics of massively different frequencies</w:t>
      </w:r>
      <w:r w:rsidR="003F42EB">
        <w:t xml:space="preserve"> [1]</w:t>
      </w:r>
      <w:r>
        <w:t>. In particular</w:t>
      </w:r>
      <w:r w:rsidR="001E4AB2">
        <w:t xml:space="preserve"> the TTI length might be different</w:t>
      </w:r>
      <w:r w:rsidR="004A5BFB">
        <w:t>.</w:t>
      </w:r>
    </w:p>
    <w:p w14:paraId="388AA9D3" w14:textId="77777777" w:rsidR="007E217C" w:rsidRDefault="007E217C" w:rsidP="007E217C">
      <w:pPr>
        <w:pStyle w:val="Heading2"/>
      </w:pPr>
      <w:r>
        <w:t>2</w:t>
      </w:r>
      <w:r w:rsidRPr="006E13D1">
        <w:t>.</w:t>
      </w:r>
      <w:r>
        <w:t>3</w:t>
      </w:r>
      <w:r w:rsidRPr="006E13D1">
        <w:tab/>
      </w:r>
      <w:r>
        <w:t xml:space="preserve">Relevance of </w:t>
      </w:r>
      <w:r w:rsidR="009A63D0">
        <w:t>carrier aggregation</w:t>
      </w:r>
      <w:r>
        <w:t xml:space="preserve"> across different numerologies</w:t>
      </w:r>
    </w:p>
    <w:p w14:paraId="3AA1CD28" w14:textId="77777777" w:rsidR="007E217C" w:rsidRPr="007E217C" w:rsidRDefault="007E217C" w:rsidP="007E217C">
      <w:r>
        <w:t>Before discussing the feasibility of aggregating carriers across different numerologies, i.e</w:t>
      </w:r>
      <w:r w:rsidR="005D42A0">
        <w:t>.</w:t>
      </w:r>
      <w:r>
        <w:t xml:space="preserve"> different frequency ranges, we should review the relevance.</w:t>
      </w:r>
      <w:r w:rsidR="001E678F">
        <w:t xml:space="preserve"> The figures below illustrate the deployment scenarios f</w:t>
      </w:r>
      <w:r w:rsidR="005D42A0">
        <w:t>or</w:t>
      </w:r>
      <w:r w:rsidR="001E678F">
        <w:t xml:space="preserve"> LTE CA, taken from 36.300.</w:t>
      </w:r>
    </w:p>
    <w:p w14:paraId="1C49F9DC" w14:textId="797A7B28" w:rsidR="004A5BFB" w:rsidRDefault="00562387" w:rsidP="003B7B55">
      <w:pPr>
        <w:pStyle w:val="B1"/>
        <w:keepNext/>
        <w:ind w:left="0" w:firstLine="0"/>
      </w:pPr>
      <w:r w:rsidRPr="005132EF">
        <w:object w:dxaOrig="7355" w:dyaOrig="2576" w14:anchorId="10465882">
          <v:shape id="_x0000_i1027" type="#_x0000_t75" style="width:178.65pt;height:61.8pt" o:ole="">
            <v:imagedata r:id="rId12" o:title=""/>
          </v:shape>
          <o:OLEObject Type="Embed" ProgID="Visio.Drawing.11" ShapeID="_x0000_i1027" DrawAspect="Content" ObjectID="_1532505201" r:id="rId13"/>
        </w:object>
      </w:r>
      <w:r w:rsidR="009028DE">
        <w:t xml:space="preserve">                          </w:t>
      </w:r>
      <w:r w:rsidR="009028DE" w:rsidRPr="005132EF">
        <w:object w:dxaOrig="7266" w:dyaOrig="2601" w14:anchorId="39904E36">
          <v:shape id="_x0000_i1028" type="#_x0000_t75" style="width:198.35pt;height:71.3pt" o:ole="">
            <v:imagedata r:id="rId14" o:title=""/>
          </v:shape>
          <o:OLEObject Type="Embed" ProgID="Visio.Drawing.11" ShapeID="_x0000_i1028" DrawAspect="Content" ObjectID="_1532505202" r:id="rId15"/>
        </w:object>
      </w:r>
    </w:p>
    <w:p w14:paraId="5D032DE2" w14:textId="5E8BCF7D" w:rsidR="004A5BFB" w:rsidRDefault="009028DE" w:rsidP="004A5BFB">
      <w:pPr>
        <w:pStyle w:val="Caption"/>
      </w:pPr>
      <w:r>
        <w:t xml:space="preserve">                   </w:t>
      </w:r>
      <w:r w:rsidR="004A5BFB">
        <w:t xml:space="preserve">Figure </w:t>
      </w:r>
      <w:r w:rsidR="00BE1572">
        <w:fldChar w:fldCharType="begin"/>
      </w:r>
      <w:r w:rsidR="00BE1572">
        <w:instrText xml:space="preserve"> SEQ Figure \* ARABIC </w:instrText>
      </w:r>
      <w:r w:rsidR="00BE1572">
        <w:fldChar w:fldCharType="separate"/>
      </w:r>
      <w:r>
        <w:rPr>
          <w:noProof/>
        </w:rPr>
        <w:t>3</w:t>
      </w:r>
      <w:r w:rsidR="00BE1572">
        <w:rPr>
          <w:noProof/>
        </w:rPr>
        <w:fldChar w:fldCharType="end"/>
      </w:r>
      <w:r w:rsidR="004A5BFB">
        <w:t>: Scenario 1</w:t>
      </w:r>
      <w:r w:rsidR="00562387">
        <w:t>.                                                                                 Figure 4: Scenario 2.</w:t>
      </w:r>
    </w:p>
    <w:p w14:paraId="6C4858A3" w14:textId="45C63764" w:rsidR="00CE157C" w:rsidRDefault="00CE157C" w:rsidP="00CE157C">
      <w:pPr>
        <w:pStyle w:val="B1"/>
        <w:ind w:left="0" w:firstLine="0"/>
      </w:pPr>
    </w:p>
    <w:p w14:paraId="0F6DBF45" w14:textId="6F2C73F8" w:rsidR="009028DE" w:rsidRDefault="007E217C" w:rsidP="009028DE">
      <w:pPr>
        <w:pStyle w:val="B1"/>
      </w:pPr>
      <w:r w:rsidRPr="005132EF">
        <w:object w:dxaOrig="7266" w:dyaOrig="2593" w14:anchorId="191F2D3D">
          <v:shape id="_x0000_i1029" type="#_x0000_t75" style="width:198.35pt;height:71.3pt" o:ole="">
            <v:imagedata r:id="rId16" o:title=""/>
          </v:shape>
          <o:OLEObject Type="Embed" ProgID="Visio.Drawing.11" ShapeID="_x0000_i1029" DrawAspect="Content" ObjectID="_1532505203" r:id="rId17"/>
        </w:object>
      </w:r>
      <w:r w:rsidR="009028DE" w:rsidRPr="005132EF">
        <w:object w:dxaOrig="7266" w:dyaOrig="2593" w14:anchorId="5C174D68">
          <v:shape id="_x0000_i1030" type="#_x0000_t75" style="width:198.35pt;height:71.3pt" o:ole="">
            <v:imagedata r:id="rId18" o:title=""/>
          </v:shape>
          <o:OLEObject Type="Embed" ProgID="Visio.Drawing.11" ShapeID="_x0000_i1030" DrawAspect="Content" ObjectID="_1532505204" r:id="rId19"/>
        </w:object>
      </w:r>
    </w:p>
    <w:p w14:paraId="44BF2119" w14:textId="24672F8A" w:rsidR="009028DE" w:rsidRDefault="009028DE" w:rsidP="009028DE">
      <w:pPr>
        <w:pStyle w:val="Caption"/>
      </w:pPr>
      <w:r>
        <w:t xml:space="preserve">                   Figure 5: Scenario 3.                                                                               Figure 6: Scenario 4.</w:t>
      </w:r>
    </w:p>
    <w:p w14:paraId="6524294D" w14:textId="77777777" w:rsidR="009028DE" w:rsidRDefault="009028DE" w:rsidP="009028DE">
      <w:pPr>
        <w:pStyle w:val="B1"/>
        <w:ind w:left="0" w:firstLine="0"/>
      </w:pPr>
    </w:p>
    <w:p w14:paraId="0B852292" w14:textId="77777777" w:rsidR="009028DE" w:rsidRDefault="007E217C" w:rsidP="009028DE">
      <w:pPr>
        <w:pStyle w:val="B1"/>
        <w:keepNext/>
      </w:pPr>
      <w:r w:rsidRPr="005132EF">
        <w:object w:dxaOrig="7266" w:dyaOrig="2601" w14:anchorId="05017D3B">
          <v:shape id="_x0000_i1031" type="#_x0000_t75" style="width:198.35pt;height:71.3pt" o:ole="">
            <v:imagedata r:id="rId20" o:title=""/>
          </v:shape>
          <o:OLEObject Type="Embed" ProgID="Visio.Drawing.11" ShapeID="_x0000_i1031" DrawAspect="Content" ObjectID="_1532505205" r:id="rId21"/>
        </w:object>
      </w:r>
    </w:p>
    <w:p w14:paraId="2E7D4EA4" w14:textId="6190E384" w:rsidR="00E95AD0" w:rsidRDefault="009028DE" w:rsidP="009028DE">
      <w:pPr>
        <w:pStyle w:val="Caption"/>
      </w:pPr>
      <w:r>
        <w:t xml:space="preserve">                   Figure 6: Scenario 5.</w:t>
      </w:r>
    </w:p>
    <w:p w14:paraId="183EB2F0" w14:textId="77777777" w:rsidR="005D42A0" w:rsidRDefault="005D42A0" w:rsidP="001B49C9">
      <w:r>
        <w:t>We observe that at least some of those scenarios could be relevant when F1 and F2 are different NR carrier frequencies with different numerologies. Examples:</w:t>
      </w:r>
    </w:p>
    <w:p w14:paraId="38634DFF" w14:textId="77777777" w:rsidR="005D42A0" w:rsidRDefault="005D42A0" w:rsidP="00EF024E">
      <w:pPr>
        <w:pStyle w:val="B1"/>
      </w:pPr>
      <w:r>
        <w:t>-</w:t>
      </w:r>
      <w:r>
        <w:tab/>
        <w:t xml:space="preserve">In scenario 1 or 2, F1 (blue) could be Manhattan-like </w:t>
      </w:r>
      <w:r w:rsidR="00EF024E">
        <w:t>NR cells below 6GHz with extremely small ISD, whereas F2 (red) are co-sited 28GHz NR cells.</w:t>
      </w:r>
    </w:p>
    <w:p w14:paraId="54B3FAF0" w14:textId="77777777" w:rsidR="001871B0" w:rsidRDefault="005D42A0" w:rsidP="00EF024E">
      <w:pPr>
        <w:pStyle w:val="B1"/>
      </w:pPr>
      <w:r>
        <w:t>-</w:t>
      </w:r>
      <w:r>
        <w:tab/>
        <w:t xml:space="preserve">In scenario 4, </w:t>
      </w:r>
      <w:r w:rsidR="00EF024E">
        <w:t xml:space="preserve">F1 (blue) could be NR macros below 6GHz, whereas </w:t>
      </w:r>
      <w:r>
        <w:t>F2 could be 28GHz remote radio heads</w:t>
      </w:r>
      <w:r w:rsidR="00EF024E">
        <w:t>.</w:t>
      </w:r>
    </w:p>
    <w:p w14:paraId="17AEB816" w14:textId="77777777" w:rsidR="005D42A0" w:rsidRPr="00F27259" w:rsidRDefault="00CD1162" w:rsidP="001B49C9">
      <w:pPr>
        <w:rPr>
          <w:b/>
        </w:rPr>
      </w:pPr>
      <w:r w:rsidRPr="00F27259">
        <w:rPr>
          <w:b/>
        </w:rPr>
        <w:t>Observation</w:t>
      </w:r>
      <w:r w:rsidR="00F27259">
        <w:rPr>
          <w:b/>
        </w:rPr>
        <w:t xml:space="preserve"> 1</w:t>
      </w:r>
      <w:r w:rsidRPr="00F27259">
        <w:rPr>
          <w:b/>
        </w:rPr>
        <w:t>: Carrier aggregation across different numerologies is relevant in NR.</w:t>
      </w:r>
    </w:p>
    <w:p w14:paraId="0C6B9F1B" w14:textId="77777777" w:rsidR="009A63D0" w:rsidRDefault="009A63D0" w:rsidP="009A63D0">
      <w:pPr>
        <w:pStyle w:val="Heading2"/>
      </w:pPr>
      <w:r>
        <w:t>2</w:t>
      </w:r>
      <w:r w:rsidRPr="006E13D1">
        <w:t>.</w:t>
      </w:r>
      <w:r>
        <w:t>4</w:t>
      </w:r>
      <w:r w:rsidRPr="006E13D1">
        <w:tab/>
      </w:r>
      <w:r>
        <w:t>Feasibility of carrier aggregation across different numerologies</w:t>
      </w:r>
    </w:p>
    <w:p w14:paraId="17C37733" w14:textId="77777777" w:rsidR="009A63D0" w:rsidRDefault="009A63D0" w:rsidP="009A63D0">
      <w:r>
        <w:t>The most CA-critical difference between the different numerologies will be the TTI length.</w:t>
      </w:r>
      <w:r w:rsidR="00CD1162">
        <w:t xml:space="preserve"> However, looking again at figure 1, we observe that the HARQ and the subsequent parts are separate and independent. The common parts are the RLC and the scheduling/priority handling.</w:t>
      </w:r>
    </w:p>
    <w:p w14:paraId="40C08F55" w14:textId="2538A71C" w:rsidR="003D31BD" w:rsidRPr="00F27259" w:rsidRDefault="003D31BD" w:rsidP="003D31BD">
      <w:pPr>
        <w:rPr>
          <w:b/>
        </w:rPr>
      </w:pPr>
      <w:r w:rsidRPr="00F27259">
        <w:rPr>
          <w:b/>
        </w:rPr>
        <w:t>Observation</w:t>
      </w:r>
      <w:r>
        <w:rPr>
          <w:b/>
        </w:rPr>
        <w:t xml:space="preserve"> 2</w:t>
      </w:r>
      <w:r w:rsidRPr="00F27259">
        <w:rPr>
          <w:b/>
        </w:rPr>
        <w:t xml:space="preserve">: </w:t>
      </w:r>
      <w:r w:rsidR="00A15B66">
        <w:rPr>
          <w:b/>
        </w:rPr>
        <w:t xml:space="preserve">In LTE, </w:t>
      </w:r>
      <w:r>
        <w:rPr>
          <w:b/>
        </w:rPr>
        <w:t>HARQ instances are already independent per carrier, the common parts are RLC and scheduling/priority handling.</w:t>
      </w:r>
    </w:p>
    <w:p w14:paraId="3647855F" w14:textId="1C798F06" w:rsidR="00CD1162" w:rsidRDefault="00CD1162" w:rsidP="009A63D0">
      <w:r>
        <w:t>Whereas the original LTE design featured a tight coupling between MAC and RLC which forces the RLC to work in the TTI cycle</w:t>
      </w:r>
      <w:r w:rsidR="00CD0AD5">
        <w:t xml:space="preserve"> (cf. 36.321, “segment and/or concatenate the RLC SDUs so that the AMD PDUs fit within the total size of RLC PDU(s) indicated by lower layer at the particular transmission opportunity notified by lower layer.”)</w:t>
      </w:r>
      <w:r>
        <w:t>, the recent NR discussion</w:t>
      </w:r>
      <w:r w:rsidR="00A15B66">
        <w:t xml:space="preserve"> </w:t>
      </w:r>
      <w:r>
        <w:t>tends to relax those RLC requirements to enable the implementation of</w:t>
      </w:r>
      <w:r w:rsidR="005568A8">
        <w:t xml:space="preserve"> (at least parts of)</w:t>
      </w:r>
      <w:r>
        <w:t xml:space="preserve"> the RLC in a CU</w:t>
      </w:r>
      <w:r w:rsidR="00C07E56">
        <w:t xml:space="preserve"> [2]</w:t>
      </w:r>
      <w:r>
        <w:t>. As a consequence, the RLC will be more independent of the nume</w:t>
      </w:r>
      <w:r w:rsidR="00F27259">
        <w:t>rology-details, and a single RLC ins</w:t>
      </w:r>
      <w:r w:rsidR="003D31BD">
        <w:t>tance is able to serve multiple HARQ instances even if different numerologies are involved.</w:t>
      </w:r>
    </w:p>
    <w:p w14:paraId="70D47104" w14:textId="22FB2873" w:rsidR="00F27259" w:rsidRPr="00F27259" w:rsidRDefault="00F27259" w:rsidP="00F27259">
      <w:pPr>
        <w:rPr>
          <w:b/>
        </w:rPr>
      </w:pPr>
      <w:r w:rsidRPr="00F27259">
        <w:rPr>
          <w:b/>
        </w:rPr>
        <w:t>Observation</w:t>
      </w:r>
      <w:r>
        <w:rPr>
          <w:b/>
        </w:rPr>
        <w:t xml:space="preserve"> </w:t>
      </w:r>
      <w:r w:rsidR="003D31BD">
        <w:rPr>
          <w:b/>
        </w:rPr>
        <w:t>3</w:t>
      </w:r>
      <w:r w:rsidRPr="00F27259">
        <w:rPr>
          <w:b/>
        </w:rPr>
        <w:t xml:space="preserve">: </w:t>
      </w:r>
      <w:r w:rsidR="005568A8">
        <w:rPr>
          <w:b/>
        </w:rPr>
        <w:t>At least the upper part of the NR RLC will be more independent from the numerology than in LTE.</w:t>
      </w:r>
    </w:p>
    <w:p w14:paraId="3E2BC13F" w14:textId="6BB8F969" w:rsidR="00071A7B" w:rsidRDefault="00071A7B" w:rsidP="009A63D0">
      <w:r>
        <w:t xml:space="preserve">Implementation of scheduling </w:t>
      </w:r>
      <w:r w:rsidR="003D31BD">
        <w:t xml:space="preserve">and priority handling </w:t>
      </w:r>
      <w:r w:rsidR="003D6188">
        <w:t xml:space="preserve">is </w:t>
      </w:r>
      <w:r w:rsidR="003D31BD">
        <w:t>vendor-specific</w:t>
      </w:r>
      <w:r>
        <w:t>, also for aggregated carriers, transparent for the UEs</w:t>
      </w:r>
      <w:r w:rsidR="003D31BD">
        <w:t xml:space="preserve"> and not further specified.</w:t>
      </w:r>
      <w:r>
        <w:t xml:space="preserve"> It can be implemented to be insensitive from different numerologies (such as different TTI lengths).</w:t>
      </w:r>
    </w:p>
    <w:p w14:paraId="210088B0" w14:textId="3245224A" w:rsidR="00CD1162" w:rsidRDefault="003D31BD" w:rsidP="009A63D0">
      <w:r>
        <w:t>We do not see any reasons why different numerologies (e.g. different TTI lengths) should cause a relevant problem.</w:t>
      </w:r>
    </w:p>
    <w:p w14:paraId="124F2933" w14:textId="184B8BA3" w:rsidR="00DD774D" w:rsidRDefault="003D31BD" w:rsidP="003D31BD">
      <w:pPr>
        <w:rPr>
          <w:b/>
        </w:rPr>
      </w:pPr>
      <w:r w:rsidRPr="00F27259">
        <w:rPr>
          <w:b/>
        </w:rPr>
        <w:t>Observation</w:t>
      </w:r>
      <w:r>
        <w:rPr>
          <w:b/>
        </w:rPr>
        <w:t xml:space="preserve"> </w:t>
      </w:r>
      <w:r w:rsidR="008D4853">
        <w:rPr>
          <w:b/>
        </w:rPr>
        <w:t>4</w:t>
      </w:r>
      <w:r w:rsidRPr="00F27259">
        <w:rPr>
          <w:b/>
        </w:rPr>
        <w:t xml:space="preserve">: </w:t>
      </w:r>
      <w:r w:rsidR="00DD774D">
        <w:rPr>
          <w:b/>
        </w:rPr>
        <w:t xml:space="preserve">Implementation of </w:t>
      </w:r>
      <w:r w:rsidR="008D4853">
        <w:rPr>
          <w:b/>
        </w:rPr>
        <w:t>Scheduling/Priority Handling is vendor-specific</w:t>
      </w:r>
      <w:r w:rsidR="00DD774D">
        <w:rPr>
          <w:b/>
        </w:rPr>
        <w:t>, transparent for the UE</w:t>
      </w:r>
      <w:r w:rsidR="008D4853">
        <w:rPr>
          <w:b/>
        </w:rPr>
        <w:t xml:space="preserve"> and insensitive to the exact air interface numerology.</w:t>
      </w:r>
    </w:p>
    <w:p w14:paraId="00E4D5AB" w14:textId="6C1B7F90" w:rsidR="008D4853" w:rsidRDefault="008D4853" w:rsidP="008D4853">
      <w:pPr>
        <w:pStyle w:val="Heading2"/>
      </w:pPr>
      <w:r>
        <w:t>2</w:t>
      </w:r>
      <w:r w:rsidRPr="006E13D1">
        <w:t>.</w:t>
      </w:r>
      <w:r w:rsidR="00BD5631">
        <w:t>6</w:t>
      </w:r>
      <w:r w:rsidRPr="006E13D1">
        <w:tab/>
      </w:r>
      <w:r w:rsidR="002B3DBA">
        <w:t>Proposal</w:t>
      </w:r>
    </w:p>
    <w:p w14:paraId="65E5C275" w14:textId="6F3507D9" w:rsidR="008D4853" w:rsidRDefault="002B3DBA" w:rsidP="001B49C9">
      <w:r>
        <w:t>Based on the observations above, w</w:t>
      </w:r>
      <w:r w:rsidR="0043484D">
        <w:t>e propose that RAN2 studies carrier aggregation across different numerologies.</w:t>
      </w:r>
    </w:p>
    <w:p w14:paraId="3A61EB55" w14:textId="77777777" w:rsidR="001C7264" w:rsidRDefault="001C7264" w:rsidP="001B49C9">
      <w:pPr>
        <w:rPr>
          <w:b/>
        </w:rPr>
      </w:pPr>
      <w:r w:rsidRPr="001C7264">
        <w:rPr>
          <w:b/>
        </w:rPr>
        <w:t>Proposal 2: RAN2 shall study carrier aggregation across different numerologies</w:t>
      </w:r>
    </w:p>
    <w:p w14:paraId="32BA0C51" w14:textId="6FC6D5C3" w:rsidR="00CD4C7B" w:rsidRDefault="00CD4C7B" w:rsidP="00CD4C7B">
      <w:pPr>
        <w:pStyle w:val="Heading1"/>
      </w:pPr>
      <w:r w:rsidRPr="006E13D1">
        <w:lastRenderedPageBreak/>
        <w:t>3</w:t>
      </w:r>
      <w:r w:rsidRPr="006E13D1">
        <w:tab/>
      </w:r>
      <w:r w:rsidR="002B3DBA">
        <w:t>Conclusion</w:t>
      </w:r>
    </w:p>
    <w:p w14:paraId="59931363" w14:textId="7A5BAE07" w:rsidR="00C93108" w:rsidRPr="00C93108" w:rsidRDefault="00C93108" w:rsidP="00C93108">
      <w:r>
        <w:t>This contributions has made several observations and proposals:</w:t>
      </w:r>
      <w:bookmarkStart w:id="1" w:name="_GoBack"/>
      <w:bookmarkEnd w:id="1"/>
    </w:p>
    <w:p w14:paraId="26773B25" w14:textId="3F54B71F" w:rsidR="00BB1443" w:rsidRDefault="00BB1443" w:rsidP="00BB1443">
      <w:pPr>
        <w:rPr>
          <w:b/>
        </w:rPr>
      </w:pPr>
      <w:r w:rsidRPr="001C7264">
        <w:rPr>
          <w:b/>
        </w:rPr>
        <w:t xml:space="preserve">Proposal </w:t>
      </w:r>
      <w:r>
        <w:rPr>
          <w:b/>
        </w:rPr>
        <w:t>1</w:t>
      </w:r>
      <w:r w:rsidRPr="001C7264">
        <w:rPr>
          <w:b/>
        </w:rPr>
        <w:t xml:space="preserve">: </w:t>
      </w:r>
      <w:r>
        <w:rPr>
          <w:b/>
        </w:rPr>
        <w:t xml:space="preserve">Lower Layer aggregation should </w:t>
      </w:r>
      <w:r w:rsidR="008845A4">
        <w:rPr>
          <w:b/>
        </w:rPr>
        <w:t xml:space="preserve">use </w:t>
      </w:r>
      <w:r>
        <w:rPr>
          <w:b/>
        </w:rPr>
        <w:t>the CA specification in LTE</w:t>
      </w:r>
      <w:r w:rsidR="008845A4">
        <w:rPr>
          <w:b/>
        </w:rPr>
        <w:t xml:space="preserve"> as baseline</w:t>
      </w:r>
      <w:r>
        <w:rPr>
          <w:b/>
        </w:rPr>
        <w:t>.</w:t>
      </w:r>
    </w:p>
    <w:p w14:paraId="4724CB5D" w14:textId="77777777" w:rsidR="00BB1443" w:rsidRPr="00F27259" w:rsidRDefault="00BB1443" w:rsidP="00BB1443">
      <w:pPr>
        <w:rPr>
          <w:b/>
        </w:rPr>
      </w:pPr>
      <w:r w:rsidRPr="00F27259">
        <w:rPr>
          <w:b/>
        </w:rPr>
        <w:t>Observation</w:t>
      </w:r>
      <w:r>
        <w:rPr>
          <w:b/>
        </w:rPr>
        <w:t xml:space="preserve"> 1</w:t>
      </w:r>
      <w:r w:rsidRPr="00F27259">
        <w:rPr>
          <w:b/>
        </w:rPr>
        <w:t>: Carrier aggregation across different numerologies is relevant in NR.</w:t>
      </w:r>
    </w:p>
    <w:p w14:paraId="49469390" w14:textId="18908F1D" w:rsidR="00E71B4B" w:rsidRPr="00F27259" w:rsidRDefault="00E71B4B" w:rsidP="00E71B4B">
      <w:pPr>
        <w:rPr>
          <w:b/>
        </w:rPr>
      </w:pPr>
      <w:r w:rsidRPr="00F27259">
        <w:rPr>
          <w:b/>
        </w:rPr>
        <w:t>Observation</w:t>
      </w:r>
      <w:r>
        <w:rPr>
          <w:b/>
        </w:rPr>
        <w:t xml:space="preserve"> </w:t>
      </w:r>
      <w:r w:rsidR="008E6AB1">
        <w:rPr>
          <w:b/>
        </w:rPr>
        <w:t>2</w:t>
      </w:r>
      <w:r w:rsidRPr="00F27259">
        <w:rPr>
          <w:b/>
        </w:rPr>
        <w:t xml:space="preserve">: </w:t>
      </w:r>
      <w:r>
        <w:rPr>
          <w:b/>
        </w:rPr>
        <w:t>In LTE, HARQ instances are already independent per carrier, the common parts are RLC and scheduling/priority handling.</w:t>
      </w:r>
    </w:p>
    <w:p w14:paraId="5799AC49" w14:textId="2D2AFB7A" w:rsidR="005B5218" w:rsidRPr="00F27259" w:rsidRDefault="005B5218" w:rsidP="005B5218">
      <w:pPr>
        <w:rPr>
          <w:b/>
        </w:rPr>
      </w:pPr>
      <w:r w:rsidRPr="00F27259">
        <w:rPr>
          <w:b/>
        </w:rPr>
        <w:t>Observation</w:t>
      </w:r>
      <w:r>
        <w:rPr>
          <w:b/>
        </w:rPr>
        <w:t xml:space="preserve"> </w:t>
      </w:r>
      <w:r w:rsidR="008E6AB1">
        <w:rPr>
          <w:b/>
        </w:rPr>
        <w:t>3</w:t>
      </w:r>
      <w:r w:rsidRPr="00F27259">
        <w:rPr>
          <w:b/>
        </w:rPr>
        <w:t xml:space="preserve">: </w:t>
      </w:r>
      <w:r>
        <w:rPr>
          <w:b/>
        </w:rPr>
        <w:t>At least the upper part of the NR RLC will be more independent from the numerology than in LTE.</w:t>
      </w:r>
    </w:p>
    <w:p w14:paraId="0E41195D" w14:textId="0A4031CC" w:rsidR="00E71B4B" w:rsidRDefault="00E71B4B" w:rsidP="00E71B4B">
      <w:pPr>
        <w:rPr>
          <w:b/>
        </w:rPr>
      </w:pPr>
      <w:r w:rsidRPr="00F27259">
        <w:rPr>
          <w:b/>
        </w:rPr>
        <w:t>Observation</w:t>
      </w:r>
      <w:r>
        <w:rPr>
          <w:b/>
        </w:rPr>
        <w:t xml:space="preserve"> </w:t>
      </w:r>
      <w:r w:rsidR="008E6AB1">
        <w:rPr>
          <w:b/>
        </w:rPr>
        <w:t>4</w:t>
      </w:r>
      <w:r w:rsidRPr="00F27259">
        <w:rPr>
          <w:b/>
        </w:rPr>
        <w:t xml:space="preserve">: </w:t>
      </w:r>
      <w:r>
        <w:rPr>
          <w:b/>
        </w:rPr>
        <w:t>Implementation of Scheduling/Priority Handling is vendor-specific, transparent for the UE and insensitive to the exact air interface numerology.</w:t>
      </w:r>
    </w:p>
    <w:p w14:paraId="5F0A7891" w14:textId="77777777" w:rsidR="00BB1443" w:rsidRDefault="00BB1443" w:rsidP="00BB1443">
      <w:pPr>
        <w:rPr>
          <w:b/>
        </w:rPr>
      </w:pPr>
      <w:r w:rsidRPr="001C7264">
        <w:rPr>
          <w:b/>
        </w:rPr>
        <w:t>Proposal 2: RAN2 shall study carrier aggregation across different numerologies</w:t>
      </w:r>
    </w:p>
    <w:p w14:paraId="2FC041CC" w14:textId="77777777" w:rsidR="001C7264" w:rsidRPr="006E13D1" w:rsidRDefault="001C7264" w:rsidP="00CD4C7B"/>
    <w:p w14:paraId="7DA8F0E5" w14:textId="77777777" w:rsidR="00CD4C7B" w:rsidRPr="006E13D1" w:rsidRDefault="00CD4C7B" w:rsidP="00CD4C7B">
      <w:pPr>
        <w:pStyle w:val="Heading1"/>
      </w:pPr>
      <w:r w:rsidRPr="006E13D1">
        <w:t>References</w:t>
      </w:r>
    </w:p>
    <w:bookmarkStart w:id="2" w:name="_Ref75086397"/>
    <w:p w14:paraId="5159467D" w14:textId="49676802" w:rsidR="003F42EB" w:rsidRPr="00297720" w:rsidRDefault="0062762C" w:rsidP="003F42EB">
      <w:pPr>
        <w:numPr>
          <w:ilvl w:val="0"/>
          <w:numId w:val="4"/>
        </w:numPr>
        <w:overflowPunct w:val="0"/>
        <w:autoSpaceDE w:val="0"/>
        <w:autoSpaceDN w:val="0"/>
        <w:adjustRightInd w:val="0"/>
        <w:textAlignment w:val="baseline"/>
      </w:pPr>
      <w:r>
        <w:fldChar w:fldCharType="begin"/>
      </w:r>
      <w:r>
        <w:instrText xml:space="preserve"> HYPERLINK "http://3gpp.org/ftp/tsg_ran/WG1_RL1/TSGR1_85/Docs/R1-165024.zip" </w:instrText>
      </w:r>
      <w:r>
        <w:fldChar w:fldCharType="separate"/>
      </w:r>
      <w:r w:rsidR="003F42EB" w:rsidRPr="0062762C">
        <w:rPr>
          <w:rStyle w:val="Hyperlink"/>
        </w:rPr>
        <w:t>R1-165024</w:t>
      </w:r>
      <w:r>
        <w:fldChar w:fldCharType="end"/>
      </w:r>
      <w:r w:rsidR="003F42EB" w:rsidRPr="00297720">
        <w:t xml:space="preserve">, </w:t>
      </w:r>
      <w:r w:rsidR="003F42EB" w:rsidRPr="00297720">
        <w:rPr>
          <w:i/>
        </w:rPr>
        <w:t>Flexible numerology for 5G New Radi</w:t>
      </w:r>
      <w:r w:rsidR="003F42EB" w:rsidRPr="00297720">
        <w:t>o, Nokia, Alcatel-Lucent Shanghai Bell</w:t>
      </w:r>
    </w:p>
    <w:p w14:paraId="51C25ABD" w14:textId="51B4BF34" w:rsidR="00C07E56" w:rsidRPr="006E13D1" w:rsidRDefault="009A7858" w:rsidP="009A7858">
      <w:pPr>
        <w:numPr>
          <w:ilvl w:val="0"/>
          <w:numId w:val="4"/>
        </w:numPr>
        <w:overflowPunct w:val="0"/>
        <w:autoSpaceDE w:val="0"/>
        <w:autoSpaceDN w:val="0"/>
        <w:adjustRightInd w:val="0"/>
        <w:textAlignment w:val="baseline"/>
      </w:pPr>
      <w:r>
        <w:t xml:space="preserve">R3-161628, </w:t>
      </w:r>
      <w:r w:rsidRPr="009A7858">
        <w:t>Higher-Layer functional split option</w:t>
      </w:r>
      <w:r>
        <w:t xml:space="preserve">, </w:t>
      </w:r>
      <w:r w:rsidRPr="00297720">
        <w:t>Nokia, Alcatel-Lucent Shanghai Bell</w:t>
      </w:r>
    </w:p>
    <w:bookmarkEnd w:id="2"/>
    <w:p w14:paraId="3866BE87" w14:textId="77777777" w:rsidR="00CD4C7B" w:rsidRDefault="00CD4C7B" w:rsidP="00CD4C7B"/>
    <w:p w14:paraId="58A81D47" w14:textId="77777777" w:rsidR="00080512" w:rsidRPr="00CD4C7B" w:rsidRDefault="00080512" w:rsidP="00CD4C7B"/>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34C6B5F" w14:textId="77777777" w:rsidR="00BE1572" w:rsidRDefault="00BE1572">
      <w:r>
        <w:separator/>
      </w:r>
    </w:p>
  </w:endnote>
  <w:endnote w:type="continuationSeparator" w:id="0">
    <w:p w14:paraId="5B9CA443" w14:textId="77777777" w:rsidR="00BE1572" w:rsidRDefault="00BE15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0F88477" w14:textId="77777777" w:rsidR="00BE1572" w:rsidRDefault="00BE1572">
      <w:r>
        <w:separator/>
      </w:r>
    </w:p>
  </w:footnote>
  <w:footnote w:type="continuationSeparator" w:id="0">
    <w:p w14:paraId="2DE4E2B7" w14:textId="77777777" w:rsidR="00BE1572" w:rsidRDefault="00BE157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33397"/>
    <w:rsid w:val="00040095"/>
    <w:rsid w:val="00071A7B"/>
    <w:rsid w:val="00080512"/>
    <w:rsid w:val="00090468"/>
    <w:rsid w:val="000B7BCF"/>
    <w:rsid w:val="000C26C3"/>
    <w:rsid w:val="000C522B"/>
    <w:rsid w:val="000D58AB"/>
    <w:rsid w:val="000E41D2"/>
    <w:rsid w:val="00154EFE"/>
    <w:rsid w:val="00171BBB"/>
    <w:rsid w:val="001741A0"/>
    <w:rsid w:val="00183A53"/>
    <w:rsid w:val="001871B0"/>
    <w:rsid w:val="001875DF"/>
    <w:rsid w:val="00194CD0"/>
    <w:rsid w:val="001B49C9"/>
    <w:rsid w:val="001C7264"/>
    <w:rsid w:val="001E4AB2"/>
    <w:rsid w:val="001E678F"/>
    <w:rsid w:val="001F168B"/>
    <w:rsid w:val="001F7831"/>
    <w:rsid w:val="00204045"/>
    <w:rsid w:val="00222BA7"/>
    <w:rsid w:val="0022606D"/>
    <w:rsid w:val="002747EC"/>
    <w:rsid w:val="00281AFC"/>
    <w:rsid w:val="0028215C"/>
    <w:rsid w:val="002836B2"/>
    <w:rsid w:val="002855BF"/>
    <w:rsid w:val="00297720"/>
    <w:rsid w:val="002B3DBA"/>
    <w:rsid w:val="002C074D"/>
    <w:rsid w:val="002F0D22"/>
    <w:rsid w:val="003172DC"/>
    <w:rsid w:val="00326069"/>
    <w:rsid w:val="00332E1A"/>
    <w:rsid w:val="0035462D"/>
    <w:rsid w:val="00382E51"/>
    <w:rsid w:val="00383B3B"/>
    <w:rsid w:val="003B40AD"/>
    <w:rsid w:val="003B7B55"/>
    <w:rsid w:val="003C4E37"/>
    <w:rsid w:val="003D31BD"/>
    <w:rsid w:val="003D6188"/>
    <w:rsid w:val="003D6DDC"/>
    <w:rsid w:val="003E16BE"/>
    <w:rsid w:val="003E3EC0"/>
    <w:rsid w:val="003F42EB"/>
    <w:rsid w:val="00401855"/>
    <w:rsid w:val="00403070"/>
    <w:rsid w:val="0043484D"/>
    <w:rsid w:val="00470F61"/>
    <w:rsid w:val="00477455"/>
    <w:rsid w:val="00482008"/>
    <w:rsid w:val="00486C6E"/>
    <w:rsid w:val="004A5BFB"/>
    <w:rsid w:val="004D3578"/>
    <w:rsid w:val="004D380D"/>
    <w:rsid w:val="004E213A"/>
    <w:rsid w:val="00503171"/>
    <w:rsid w:val="00525C99"/>
    <w:rsid w:val="00534DA0"/>
    <w:rsid w:val="00543E6C"/>
    <w:rsid w:val="00545DCD"/>
    <w:rsid w:val="00546A98"/>
    <w:rsid w:val="005568A8"/>
    <w:rsid w:val="00562387"/>
    <w:rsid w:val="00565087"/>
    <w:rsid w:val="0056573F"/>
    <w:rsid w:val="005B5218"/>
    <w:rsid w:val="005C1948"/>
    <w:rsid w:val="005D42A0"/>
    <w:rsid w:val="005D659E"/>
    <w:rsid w:val="005D7165"/>
    <w:rsid w:val="005E5956"/>
    <w:rsid w:val="00611566"/>
    <w:rsid w:val="0062762C"/>
    <w:rsid w:val="00646D99"/>
    <w:rsid w:val="00656910"/>
    <w:rsid w:val="00681C67"/>
    <w:rsid w:val="006830CF"/>
    <w:rsid w:val="006C66D8"/>
    <w:rsid w:val="006D1E24"/>
    <w:rsid w:val="006F6A2C"/>
    <w:rsid w:val="00734A5B"/>
    <w:rsid w:val="00744E76"/>
    <w:rsid w:val="00757D40"/>
    <w:rsid w:val="00757EFF"/>
    <w:rsid w:val="0077437E"/>
    <w:rsid w:val="00781F0F"/>
    <w:rsid w:val="0078727C"/>
    <w:rsid w:val="0079049D"/>
    <w:rsid w:val="007B18D8"/>
    <w:rsid w:val="007C095F"/>
    <w:rsid w:val="007E217C"/>
    <w:rsid w:val="008028A4"/>
    <w:rsid w:val="00843369"/>
    <w:rsid w:val="00854029"/>
    <w:rsid w:val="008768CA"/>
    <w:rsid w:val="00880559"/>
    <w:rsid w:val="008845A4"/>
    <w:rsid w:val="008D4853"/>
    <w:rsid w:val="008E6AB1"/>
    <w:rsid w:val="008F0A69"/>
    <w:rsid w:val="0090271F"/>
    <w:rsid w:val="009028DE"/>
    <w:rsid w:val="009378B6"/>
    <w:rsid w:val="00942EC2"/>
    <w:rsid w:val="00961B32"/>
    <w:rsid w:val="00974BB0"/>
    <w:rsid w:val="00977C8E"/>
    <w:rsid w:val="009A63D0"/>
    <w:rsid w:val="009A7858"/>
    <w:rsid w:val="009B07CD"/>
    <w:rsid w:val="009B358A"/>
    <w:rsid w:val="009D7C00"/>
    <w:rsid w:val="00A10F02"/>
    <w:rsid w:val="00A15B66"/>
    <w:rsid w:val="00A53724"/>
    <w:rsid w:val="00A82346"/>
    <w:rsid w:val="00A9671C"/>
    <w:rsid w:val="00B15449"/>
    <w:rsid w:val="00B454FA"/>
    <w:rsid w:val="00B47FD1"/>
    <w:rsid w:val="00BB0879"/>
    <w:rsid w:val="00BB1443"/>
    <w:rsid w:val="00BD1CEB"/>
    <w:rsid w:val="00BD5631"/>
    <w:rsid w:val="00BE1572"/>
    <w:rsid w:val="00C07E56"/>
    <w:rsid w:val="00C12B51"/>
    <w:rsid w:val="00C1436A"/>
    <w:rsid w:val="00C33079"/>
    <w:rsid w:val="00C83A13"/>
    <w:rsid w:val="00C93108"/>
    <w:rsid w:val="00C970C0"/>
    <w:rsid w:val="00CA3D0C"/>
    <w:rsid w:val="00CD0AD5"/>
    <w:rsid w:val="00CD1162"/>
    <w:rsid w:val="00CD4C7B"/>
    <w:rsid w:val="00CE157C"/>
    <w:rsid w:val="00CF239B"/>
    <w:rsid w:val="00D00978"/>
    <w:rsid w:val="00D738D6"/>
    <w:rsid w:val="00D80795"/>
    <w:rsid w:val="00D80C2A"/>
    <w:rsid w:val="00D87E00"/>
    <w:rsid w:val="00D9134D"/>
    <w:rsid w:val="00D96D11"/>
    <w:rsid w:val="00DA7A03"/>
    <w:rsid w:val="00DB1818"/>
    <w:rsid w:val="00DC309B"/>
    <w:rsid w:val="00DC4DA2"/>
    <w:rsid w:val="00DD774D"/>
    <w:rsid w:val="00E62835"/>
    <w:rsid w:val="00E71B4B"/>
    <w:rsid w:val="00E77645"/>
    <w:rsid w:val="00E8067A"/>
    <w:rsid w:val="00E95AD0"/>
    <w:rsid w:val="00EC4A25"/>
    <w:rsid w:val="00ED3C07"/>
    <w:rsid w:val="00EF024E"/>
    <w:rsid w:val="00EF23ED"/>
    <w:rsid w:val="00F023C1"/>
    <w:rsid w:val="00F025A2"/>
    <w:rsid w:val="00F07388"/>
    <w:rsid w:val="00F2026E"/>
    <w:rsid w:val="00F2210A"/>
    <w:rsid w:val="00F27259"/>
    <w:rsid w:val="00F3617C"/>
    <w:rsid w:val="00F37743"/>
    <w:rsid w:val="00F54A3D"/>
    <w:rsid w:val="00F653B8"/>
    <w:rsid w:val="00F76F8F"/>
    <w:rsid w:val="00F95D04"/>
    <w:rsid w:val="00FA1266"/>
    <w:rsid w:val="00FC029C"/>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DDADFB8"/>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able of authorities" w:uiPriority="99"/>
    <w:lsdException w:name="toa heading"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character" w:customStyle="1" w:styleId="TAHCar">
    <w:name w:val="TAH Car"/>
    <w:link w:val="TAH"/>
    <w:locked/>
    <w:rsid w:val="0028215C"/>
    <w:rPr>
      <w:rFonts w:ascii="Arial" w:hAnsi="Arial"/>
      <w:b/>
      <w:sz w:val="18"/>
      <w:lang w:eastAsia="en-US"/>
    </w:rPr>
  </w:style>
  <w:style w:type="character" w:customStyle="1" w:styleId="TACChar">
    <w:name w:val="TAC Char"/>
    <w:link w:val="TAC"/>
    <w:rsid w:val="0028215C"/>
    <w:rPr>
      <w:rFonts w:ascii="Arial" w:hAnsi="Arial"/>
      <w:sz w:val="18"/>
      <w:lang w:eastAsia="en-US"/>
    </w:rPr>
  </w:style>
  <w:style w:type="paragraph" w:styleId="ListParagraph">
    <w:name w:val="List Paragraph"/>
    <w:basedOn w:val="Normal"/>
    <w:uiPriority w:val="34"/>
    <w:qFormat/>
    <w:rsid w:val="001E4AB2"/>
    <w:pPr>
      <w:ind w:left="720"/>
      <w:contextualSpacing/>
    </w:pPr>
  </w:style>
  <w:style w:type="paragraph" w:styleId="TOAHeading">
    <w:name w:val="toa heading"/>
    <w:basedOn w:val="Normal"/>
    <w:next w:val="Normal"/>
    <w:uiPriority w:val="99"/>
    <w:rsid w:val="00525C99"/>
    <w:pPr>
      <w:spacing w:before="120"/>
    </w:pPr>
    <w:rPr>
      <w:rFonts w:asciiTheme="majorHAnsi" w:eastAsiaTheme="majorEastAsia" w:hAnsiTheme="majorHAnsi" w:cstheme="majorBidi"/>
      <w:b/>
      <w:bCs/>
      <w:sz w:val="24"/>
      <w:szCs w:val="24"/>
    </w:rPr>
  </w:style>
  <w:style w:type="paragraph" w:styleId="TableofAuthorities">
    <w:name w:val="table of authorities"/>
    <w:basedOn w:val="Normal"/>
    <w:next w:val="Normal"/>
    <w:uiPriority w:val="99"/>
    <w:rsid w:val="00525C99"/>
    <w:pPr>
      <w:spacing w:after="0"/>
      <w:ind w:left="200" w:hanging="200"/>
    </w:pPr>
  </w:style>
  <w:style w:type="character" w:styleId="CommentReference">
    <w:name w:val="annotation reference"/>
    <w:basedOn w:val="DefaultParagraphFont"/>
    <w:rsid w:val="008F0A69"/>
    <w:rPr>
      <w:sz w:val="16"/>
      <w:szCs w:val="16"/>
    </w:rPr>
  </w:style>
  <w:style w:type="paragraph" w:styleId="CommentText">
    <w:name w:val="annotation text"/>
    <w:basedOn w:val="Normal"/>
    <w:link w:val="CommentTextChar"/>
    <w:rsid w:val="008F0A69"/>
  </w:style>
  <w:style w:type="character" w:customStyle="1" w:styleId="CommentTextChar">
    <w:name w:val="Comment Text Char"/>
    <w:basedOn w:val="DefaultParagraphFont"/>
    <w:link w:val="CommentText"/>
    <w:rsid w:val="008F0A69"/>
    <w:rPr>
      <w:lang w:eastAsia="en-US"/>
    </w:rPr>
  </w:style>
  <w:style w:type="paragraph" w:styleId="CommentSubject">
    <w:name w:val="annotation subject"/>
    <w:basedOn w:val="CommentText"/>
    <w:next w:val="CommentText"/>
    <w:link w:val="CommentSubjectChar"/>
    <w:rsid w:val="008F0A69"/>
    <w:rPr>
      <w:b/>
      <w:bCs/>
    </w:rPr>
  </w:style>
  <w:style w:type="character" w:customStyle="1" w:styleId="CommentSubjectChar">
    <w:name w:val="Comment Subject Char"/>
    <w:basedOn w:val="CommentTextChar"/>
    <w:link w:val="CommentSubject"/>
    <w:rsid w:val="008F0A69"/>
    <w:rPr>
      <w:b/>
      <w:bCs/>
      <w:lang w:eastAsia="en-US"/>
    </w:rPr>
  </w:style>
  <w:style w:type="paragraph" w:styleId="BalloonText">
    <w:name w:val="Balloon Text"/>
    <w:basedOn w:val="Normal"/>
    <w:link w:val="BalloonTextChar"/>
    <w:rsid w:val="008F0A69"/>
    <w:pPr>
      <w:spacing w:after="0"/>
    </w:pPr>
    <w:rPr>
      <w:rFonts w:ascii="Segoe UI" w:hAnsi="Segoe UI" w:cs="Segoe UI"/>
      <w:sz w:val="18"/>
      <w:szCs w:val="18"/>
    </w:rPr>
  </w:style>
  <w:style w:type="character" w:customStyle="1" w:styleId="BalloonTextChar">
    <w:name w:val="Balloon Text Char"/>
    <w:basedOn w:val="DefaultParagraphFont"/>
    <w:link w:val="BalloonText"/>
    <w:rsid w:val="008F0A69"/>
    <w:rPr>
      <w:rFonts w:ascii="Segoe UI" w:hAnsi="Segoe UI" w:cs="Segoe UI"/>
      <w:sz w:val="18"/>
      <w:szCs w:val="18"/>
      <w:lang w:eastAsia="en-US"/>
    </w:rPr>
  </w:style>
  <w:style w:type="paragraph" w:styleId="Caption">
    <w:name w:val="caption"/>
    <w:basedOn w:val="Normal"/>
    <w:next w:val="Normal"/>
    <w:unhideWhenUsed/>
    <w:qFormat/>
    <w:rsid w:val="004A5BFB"/>
    <w:pPr>
      <w:spacing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image" Target="media/image6.emf"/><Relationship Id="rId3" Type="http://schemas.openxmlformats.org/officeDocument/2006/relationships/styles" Target="styles.xml"/><Relationship Id="rId21" Type="http://schemas.openxmlformats.org/officeDocument/2006/relationships/oleObject" Target="embeddings/oleObject7.bin"/><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oleObject5.bin"/><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theme" Target="theme/theme1.xml"/><Relationship Id="rId10" Type="http://schemas.openxmlformats.org/officeDocument/2006/relationships/image" Target="media/image2.emf"/><Relationship Id="rId19" Type="http://schemas.openxmlformats.org/officeDocument/2006/relationships/oleObject" Target="embeddings/oleObject6.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E9EF7D-62D6-4EED-9558-ABE88EC930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5</TotalTime>
  <Pages>4</Pages>
  <Words>990</Words>
  <Characters>5643</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3GPP TDoc</vt:lpstr>
    </vt:vector>
  </TitlesOfParts>
  <Company>Nokia Siemens Networks</Company>
  <LinksUpToDate>false</LinksUpToDate>
  <CharactersWithSpaces>6620</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cp:lastModifiedBy>Benoist Sébire</cp:lastModifiedBy>
  <cp:revision>9</cp:revision>
  <dcterms:created xsi:type="dcterms:W3CDTF">2016-08-10T22:49:00Z</dcterms:created>
  <dcterms:modified xsi:type="dcterms:W3CDTF">2016-08-12T02:06:00Z</dcterms:modified>
</cp:coreProperties>
</file>